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9" w:rsidRPr="004B0991" w:rsidRDefault="000C7919" w:rsidP="000C791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0C7919" w:rsidRPr="004B0991" w:rsidRDefault="000C7919" w:rsidP="000C791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0C7919" w:rsidRPr="00CA187A" w:rsidRDefault="000C7919" w:rsidP="000C7919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fr-FR"/>
        </w:rPr>
      </w:pPr>
    </w:p>
    <w:p w:rsidR="000C7919" w:rsidRPr="00CA187A" w:rsidRDefault="000C7919" w:rsidP="000C7919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0C7919" w:rsidRPr="00A413D1" w:rsidRDefault="000C7919" w:rsidP="000C7919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0C7919" w:rsidRPr="00C62DB7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4"/>
          <w:szCs w:val="24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Document/film mont</w:t>
      </w:r>
      <w:r>
        <w:rPr>
          <w:rFonts w:ascii="Arial Narrow" w:hAnsi="Arial Narrow"/>
          <w:sz w:val="22"/>
          <w:szCs w:val="22"/>
          <w:lang w:eastAsia="fr-FR"/>
        </w:rPr>
        <w:t xml:space="preserve">é –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 xml:space="preserve">séquences - index TV – clip – rushes techniques / scientifiques – animation – long métrage – court métrage </w:t>
      </w:r>
      <w:r>
        <w:rPr>
          <w:rFonts w:ascii="Arial Narrow" w:hAnsi="Arial Narrow"/>
          <w:sz w:val="22"/>
          <w:szCs w:val="22"/>
          <w:lang w:eastAsia="fr-FR"/>
        </w:rPr>
        <w:t>– autre (préciser</w:t>
      </w:r>
      <w:r w:rsidRPr="00C62DB7">
        <w:rPr>
          <w:rFonts w:ascii="Arial Narrow" w:hAnsi="Arial Narrow"/>
          <w:sz w:val="22"/>
          <w:szCs w:val="22"/>
          <w:lang w:eastAsia="fr-FR"/>
        </w:rPr>
        <w:t>) </w:t>
      </w:r>
      <w:r>
        <w:rPr>
          <w:rFonts w:ascii="Arial Narrow" w:hAnsi="Arial Narrow"/>
          <w:sz w:val="24"/>
          <w:szCs w:val="24"/>
          <w:lang w:eastAsia="fr-FR"/>
        </w:rPr>
        <w:t xml:space="preserve">: </w:t>
      </w:r>
      <w:r>
        <w:rPr>
          <w:rFonts w:ascii="Arial Narrow" w:hAnsi="Arial Narrow"/>
          <w:iCs/>
          <w:sz w:val="22"/>
          <w:szCs w:val="22"/>
          <w:lang w:eastAsia="fr-FR"/>
        </w:rPr>
        <w:t>Reportage</w:t>
      </w:r>
      <w:r w:rsidRPr="00A413D1">
        <w:rPr>
          <w:rFonts w:ascii="Arial Narrow" w:hAnsi="Arial Narrow"/>
          <w:i/>
          <w:lang w:eastAsia="fr-FR"/>
        </w:rPr>
        <w:t xml:space="preserve"> </w:t>
      </w:r>
      <w:r>
        <w:rPr>
          <w:rFonts w:ascii="Arial Narrow" w:hAnsi="Arial Narrow"/>
          <w:i/>
          <w:lang w:eastAsia="fr-FR"/>
        </w:rPr>
        <w:br/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2. Titre de l’œuvre :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Apophis : un astéroïde sous haute surveillance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3.  Sous-titres / collection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 xml:space="preserve">Site web </w:t>
      </w:r>
      <w:hyperlink r:id="rId7" w:history="1">
        <w:r w:rsidRPr="003022C7">
          <w:rPr>
            <w:rStyle w:val="Lienhypertexte"/>
            <w:rFonts w:ascii="Arial Narrow" w:hAnsi="Arial Narrow"/>
            <w:iCs/>
            <w:sz w:val="22"/>
            <w:szCs w:val="22"/>
            <w:lang w:eastAsia="fr-FR"/>
          </w:rPr>
          <w:t>www.cnes.fr</w:t>
        </w:r>
      </w:hyperlink>
      <w:r>
        <w:rPr>
          <w:rFonts w:ascii="Arial Narrow" w:hAnsi="Arial Narrow"/>
          <w:iCs/>
          <w:sz w:val="22"/>
          <w:szCs w:val="22"/>
          <w:lang w:eastAsia="fr-FR"/>
        </w:rPr>
        <w:t xml:space="preserve"> /Journal de l’espace.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4. Copyright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QuiSproduction / CNES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5. Réalisateur(s)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Frédéric Quignaux et Sophie Bellaiche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6. Auteur(s)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Frédéric Quignaux et Sophie Bellaiche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7. Producteur délégué </w:t>
      </w:r>
      <w:r w:rsidRPr="00C62DB7">
        <w:rPr>
          <w:rFonts w:ascii="Arial Narrow" w:hAnsi="Arial Narrow"/>
          <w:b/>
          <w:sz w:val="24"/>
          <w:szCs w:val="24"/>
          <w:lang w:eastAsia="fr-FR"/>
        </w:rPr>
        <w:t xml:space="preserve">/ </w:t>
      </w:r>
      <w:r w:rsidRPr="00540746">
        <w:rPr>
          <w:rFonts w:ascii="Arial Narrow" w:hAnsi="Arial Narrow"/>
          <w:b/>
          <w:strike/>
          <w:sz w:val="24"/>
          <w:szCs w:val="24"/>
          <w:lang w:eastAsia="fr-FR"/>
        </w:rPr>
        <w:t xml:space="preserve">coproducteur(s) </w:t>
      </w:r>
      <w:r w:rsidRPr="00C62DB7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  <w:r w:rsidRPr="00C62DB7"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8. Commanditaire(s)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CNES, 2 place Maurice Quentin 75001 Paris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9. Date de production de l’œuvre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Avril 2013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10. Durée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3 min 28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11. Langue(s)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Pr="00C62DB7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12. Versions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Couleur –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>noir&amp;blanc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– sonore –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>muet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–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>version internationale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– langue(s) VF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>– VA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– </w:t>
      </w:r>
      <w:r w:rsidRPr="00C62DB7">
        <w:rPr>
          <w:rFonts w:ascii="Arial Narrow" w:hAnsi="Arial Narrow"/>
          <w:strike/>
          <w:sz w:val="22"/>
          <w:szCs w:val="22"/>
          <w:lang w:eastAsia="fr-FR"/>
        </w:rPr>
        <w:t>autre (à préciser)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C7919" w:rsidRDefault="000C7919" w:rsidP="000C7919">
      <w:pPr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t>13.</w:t>
      </w:r>
      <w:r w:rsidRPr="004E1157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t xml:space="preserve">Résumé de 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l’œuvre :</w:t>
      </w:r>
      <w:r>
        <w:rPr>
          <w:rFonts w:ascii="Arial Narrow" w:hAnsi="Arial Narrow"/>
          <w:b/>
          <w:sz w:val="24"/>
          <w:szCs w:val="24"/>
          <w:lang w:eastAsia="fr-FR"/>
        </w:rPr>
        <w:t xml:space="preserve"> </w:t>
      </w:r>
    </w:p>
    <w:p w:rsidR="000C7919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C45750">
        <w:rPr>
          <w:rFonts w:ascii="Arial Narrow" w:hAnsi="Arial Narrow"/>
          <w:sz w:val="22"/>
          <w:szCs w:val="22"/>
          <w:lang w:eastAsia="fr-FR"/>
        </w:rPr>
        <w:t>Près de 10 ans après sa découverte, l'astéroïde Apophis revient exciter la curiosité des astronomes début 2013. D’un diamètre de plus de 300 mètres, l’astéroï</w:t>
      </w:r>
      <w:r>
        <w:rPr>
          <w:rFonts w:ascii="Arial Narrow" w:hAnsi="Arial Narrow"/>
          <w:sz w:val="22"/>
          <w:szCs w:val="22"/>
          <w:lang w:eastAsia="fr-FR"/>
        </w:rPr>
        <w:t xml:space="preserve">de se trouve </w:t>
      </w:r>
      <w:r w:rsidRPr="00C45750">
        <w:rPr>
          <w:rFonts w:ascii="Arial Narrow" w:hAnsi="Arial Narrow"/>
          <w:sz w:val="22"/>
          <w:szCs w:val="22"/>
          <w:lang w:eastAsia="fr-FR"/>
        </w:rPr>
        <w:t>très loin de la terre, à 15 millions de kilomètres. Mais pourtant, il est classé parmi les objets potentiellement dangereux</w:t>
      </w:r>
      <w:r>
        <w:rPr>
          <w:rFonts w:ascii="Arial Narrow" w:hAnsi="Arial Narrow"/>
          <w:sz w:val="22"/>
          <w:szCs w:val="22"/>
          <w:lang w:eastAsia="fr-FR"/>
        </w:rPr>
        <w:t xml:space="preserve">. </w:t>
      </w:r>
    </w:p>
    <w:p w:rsidR="000C7919" w:rsidRPr="00585E6B" w:rsidRDefault="000C7919" w:rsidP="000C7919">
      <w:pPr>
        <w:jc w:val="both"/>
        <w:rPr>
          <w:rFonts w:ascii="Arial Narrow" w:hAnsi="Arial Narrow"/>
          <w:sz w:val="22"/>
          <w:szCs w:val="22"/>
          <w:lang w:eastAsia="fr-FR"/>
        </w:rPr>
      </w:pPr>
      <w:r w:rsidRPr="00585E6B">
        <w:rPr>
          <w:rFonts w:ascii="Arial Narrow" w:hAnsi="Arial Narrow"/>
          <w:sz w:val="22"/>
          <w:szCs w:val="22"/>
          <w:lang w:eastAsia="fr-FR"/>
        </w:rPr>
        <w:t xml:space="preserve">L’objectif des experts du CNES est de préparer une future mission spatiale. La rencontre entre un vaisseau spatial et Apophis est envisagée pour 2027. </w:t>
      </w:r>
    </w:p>
    <w:p w:rsidR="000C7919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14. Lieux de tournage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</w:p>
    <w:p w:rsidR="000C7919" w:rsidRPr="002433A6" w:rsidRDefault="000C7919" w:rsidP="000C7919">
      <w:pPr>
        <w:jc w:val="both"/>
        <w:rPr>
          <w:rFonts w:ascii="Arial Narrow" w:hAnsi="Arial Narrow"/>
          <w:sz w:val="22"/>
          <w:szCs w:val="22"/>
          <w:lang w:eastAsia="fr-FR"/>
        </w:rPr>
      </w:pPr>
      <w:r>
        <w:rPr>
          <w:rFonts w:ascii="Arial Narrow" w:hAnsi="Arial Narrow"/>
          <w:sz w:val="22"/>
          <w:szCs w:val="22"/>
          <w:lang w:eastAsia="fr-FR"/>
        </w:rPr>
        <w:t>L’observatoire de Bélesta en Lauragais et le Centre Spatial de Toulouse (Haute-Garonne)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C7919" w:rsidRPr="008A6FCD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lastRenderedPageBreak/>
        <w:t>15. Droits / Crédits</w:t>
      </w:r>
      <w:r w:rsidRPr="00A413D1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Images : QuiSproduction/ CNES/ F.Colas-CNRS-IMCCE-OMP-Pic du Midi- S2P/ Association ADAGIO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0C7919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16. Editeur de la musique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</w:p>
    <w:p w:rsidR="000C7919" w:rsidRPr="00085CF4" w:rsidRDefault="000C7919" w:rsidP="000C7919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« AnOrangePlanet »</w:t>
      </w:r>
    </w:p>
    <w:p w:rsidR="000C7919" w:rsidRPr="001D2B1C" w:rsidRDefault="000C7919" w:rsidP="000C7919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 xml:space="preserve">«Juisou» - </w:t>
      </w:r>
      <w:proofErr w:type="gramStart"/>
      <w:r>
        <w:rPr>
          <w:rFonts w:ascii="Arial Narrow" w:hAnsi="Arial Narrow"/>
          <w:iCs/>
          <w:sz w:val="22"/>
          <w:szCs w:val="22"/>
          <w:lang w:eastAsia="fr-FR"/>
        </w:rPr>
        <w:t>de Alt</w:t>
      </w:r>
      <w:proofErr w:type="gramEnd"/>
      <w:r>
        <w:rPr>
          <w:rFonts w:ascii="Arial Narrow" w:hAnsi="Arial Narrow"/>
          <w:iCs/>
          <w:sz w:val="22"/>
          <w:szCs w:val="22"/>
          <w:lang w:eastAsia="fr-FR"/>
        </w:rPr>
        <w:t xml:space="preserve"> F4 - Dogmazic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Réalisation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QuiSproduction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Auteurs du commentaire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Frédéric Quignaux et Sophie Bellaiche</w:t>
      </w:r>
      <w:r>
        <w:rPr>
          <w:rFonts w:ascii="Arial Narrow" w:hAnsi="Arial Narrow"/>
          <w:iCs/>
          <w:sz w:val="22"/>
          <w:szCs w:val="22"/>
          <w:lang w:eastAsia="fr-FR"/>
        </w:rPr>
        <w:br/>
        <w:t>Habillage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Marielle de Vaulx, Vincent Lamarche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Images :</w:t>
      </w:r>
      <w:r w:rsidRPr="00D867C8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>
        <w:rPr>
          <w:rFonts w:ascii="Arial Narrow" w:hAnsi="Arial Narrow"/>
          <w:iCs/>
          <w:sz w:val="22"/>
          <w:szCs w:val="22"/>
          <w:lang w:eastAsia="fr-FR"/>
        </w:rPr>
        <w:t>QuiSproduction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Musique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« Juisou » de Alt F4 – dogmazic.net</w:t>
      </w:r>
      <w:r>
        <w:rPr>
          <w:rFonts w:ascii="Arial Narrow" w:hAnsi="Arial Narrow"/>
          <w:iCs/>
          <w:sz w:val="22"/>
          <w:szCs w:val="22"/>
          <w:lang w:eastAsia="fr-FR"/>
        </w:rPr>
        <w:br/>
        <w:t>« AnOrangePlanet »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iCs/>
          <w:sz w:val="22"/>
          <w:szCs w:val="22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br w:type="page"/>
      </w:r>
      <w:r>
        <w:rPr>
          <w:rFonts w:ascii="Arial Narrow" w:hAnsi="Arial Narrow"/>
          <w:iCs/>
          <w:sz w:val="22"/>
          <w:szCs w:val="22"/>
          <w:lang w:eastAsia="fr-FR"/>
        </w:rPr>
        <w:lastRenderedPageBreak/>
        <w:br/>
      </w:r>
      <w:r>
        <w:rPr>
          <w:rFonts w:ascii="Arial Narrow" w:hAnsi="Arial Narrow"/>
          <w:b/>
          <w:sz w:val="24"/>
          <w:szCs w:val="24"/>
          <w:lang w:eastAsia="fr-FR"/>
        </w:rPr>
        <w:t>18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. Format :</w:t>
      </w:r>
    </w:p>
    <w:p w:rsidR="000C7919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>
        <w:rPr>
          <w:rFonts w:ascii="Arial Narrow" w:hAnsi="Arial Narrow"/>
          <w:sz w:val="22"/>
          <w:szCs w:val="22"/>
          <w:lang w:eastAsia="fr-FR"/>
        </w:rPr>
        <w:t>16/9 H264.MP4</w:t>
      </w:r>
      <w:r>
        <w:rPr>
          <w:rFonts w:ascii="Arial Narrow" w:hAnsi="Arial Narrow"/>
          <w:sz w:val="22"/>
          <w:szCs w:val="22"/>
          <w:lang w:eastAsia="fr-FR"/>
        </w:rPr>
        <w:br/>
      </w:r>
      <w:r w:rsidRPr="00A413D1">
        <w:rPr>
          <w:rFonts w:ascii="Arial Narrow" w:hAnsi="Arial Narrow"/>
          <w:sz w:val="22"/>
          <w:szCs w:val="22"/>
          <w:lang w:eastAsia="fr-FR"/>
        </w:rPr>
        <w:t>Procédé son sur la copie présentée :</w:t>
      </w:r>
      <w:r w:rsidRPr="00D539AA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Stéréo 48Hz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sz w:val="22"/>
          <w:szCs w:val="22"/>
          <w:lang w:eastAsia="fr-FR"/>
        </w:rPr>
        <w:t>16/9 1920X1080 Apple proRes LT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Procédé son sur la copie présentée :</w:t>
      </w:r>
      <w:r w:rsidRPr="00D539AA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>
        <w:rPr>
          <w:rFonts w:ascii="Arial Narrow" w:hAnsi="Arial Narrow"/>
          <w:iCs/>
          <w:sz w:val="22"/>
          <w:szCs w:val="22"/>
          <w:lang w:eastAsia="fr-FR"/>
        </w:rPr>
        <w:t>Stéréo 48Hz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t>19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. Laboratoire(s) ou le film a été déposé :</w:t>
      </w:r>
      <w:r w:rsidRPr="00D539AA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380D92">
        <w:rPr>
          <w:rFonts w:ascii="Arial Narrow" w:hAnsi="Arial Narrow"/>
          <w:strike/>
          <w:sz w:val="22"/>
          <w:szCs w:val="22"/>
          <w:lang w:eastAsia="fr-FR"/>
        </w:rPr>
        <w:t>producteur délégué</w:t>
      </w:r>
      <w:r w:rsidRPr="00A413D1">
        <w:rPr>
          <w:rFonts w:ascii="Arial Narrow" w:hAnsi="Arial Narrow"/>
          <w:sz w:val="22"/>
          <w:szCs w:val="22"/>
          <w:lang w:eastAsia="fr-FR"/>
        </w:rPr>
        <w:t>, mandataire du producteur délégué (1</w:t>
      </w:r>
      <w:proofErr w:type="gramStart"/>
      <w:r w:rsidRPr="00A413D1">
        <w:rPr>
          <w:rFonts w:ascii="Arial Narrow" w:hAnsi="Arial Narrow"/>
          <w:sz w:val="22"/>
          <w:szCs w:val="22"/>
          <w:lang w:eastAsia="fr-FR"/>
        </w:rPr>
        <w:t>) ,</w:t>
      </w:r>
      <w:proofErr w:type="gramEnd"/>
      <w:r w:rsidRPr="00A413D1">
        <w:rPr>
          <w:rFonts w:ascii="Arial Narrow" w:hAnsi="Arial Narrow"/>
          <w:sz w:val="22"/>
          <w:szCs w:val="22"/>
          <w:lang w:eastAsia="fr-FR"/>
        </w:rPr>
        <w:t xml:space="preserve"> certifie exacts les renseignements ci-dessus portés.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Fait à </w:t>
      </w:r>
      <w:r>
        <w:rPr>
          <w:rFonts w:ascii="Arial Narrow" w:hAnsi="Arial Narrow"/>
          <w:sz w:val="22"/>
          <w:szCs w:val="22"/>
          <w:lang w:eastAsia="fr-FR"/>
        </w:rPr>
        <w:t>Toulouse,</w:t>
      </w: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0C7919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Le</w:t>
      </w:r>
      <w:r>
        <w:rPr>
          <w:rFonts w:ascii="Arial Narrow" w:hAnsi="Arial Narrow"/>
          <w:sz w:val="22"/>
          <w:szCs w:val="22"/>
          <w:lang w:eastAsia="fr-FR"/>
        </w:rPr>
        <w:t xml:space="preserve"> 19 avril 2013</w:t>
      </w:r>
    </w:p>
    <w:p w:rsidR="000C7919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0C7919" w:rsidRPr="00A413D1" w:rsidRDefault="000C7919" w:rsidP="000C7919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i/>
          <w:lang w:eastAsia="fr-FR"/>
        </w:rPr>
        <w:t>(1) rayer la mention inutile</w:t>
      </w:r>
    </w:p>
    <w:sectPr w:rsidR="000C7919" w:rsidRPr="00A413D1" w:rsidSect="000C7919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BF" w:rsidRDefault="005A45BF">
      <w:r>
        <w:separator/>
      </w:r>
    </w:p>
  </w:endnote>
  <w:endnote w:type="continuationSeparator" w:id="0">
    <w:p w:rsidR="005A45BF" w:rsidRDefault="005A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BF" w:rsidRDefault="005A45BF">
      <w:r>
        <w:separator/>
      </w:r>
    </w:p>
  </w:footnote>
  <w:footnote w:type="continuationSeparator" w:id="0">
    <w:p w:rsidR="005A45BF" w:rsidRDefault="005A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9" w:rsidRDefault="000C7919" w:rsidP="000C791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45B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C7919" w:rsidRDefault="000C79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9" w:rsidRDefault="000C7919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5A45B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A60D0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5A45BF">
      <w:rPr>
        <w:rStyle w:val="Numrodepage"/>
      </w:rPr>
      <w:instrText>NUMPAGES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A60D0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 Narrow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187A"/>
    <w:rsid w:val="000C7919"/>
    <w:rsid w:val="005A45BF"/>
    <w:rsid w:val="00CA60D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semiHidden/>
    <w:rsid w:val="00317647"/>
  </w:style>
  <w:style w:type="table" w:default="1" w:styleId="TableauNormal">
    <w:name w:val="Normal Table"/>
    <w:semiHidden/>
    <w:rsid w:val="003176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317647"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rsid w:val="00C62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2378</CharactersWithSpaces>
  <SharedDoc>false</SharedDoc>
  <HLinks>
    <vt:vector size="6" baseType="variant"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http://www.cnes.fr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creator>CNES</dc:creator>
  <cp:lastModifiedBy>StéphDo</cp:lastModifiedBy>
  <cp:revision>2</cp:revision>
  <cp:lastPrinted>2012-05-04T13:20:00Z</cp:lastPrinted>
  <dcterms:created xsi:type="dcterms:W3CDTF">2013-05-22T18:58:00Z</dcterms:created>
  <dcterms:modified xsi:type="dcterms:W3CDTF">2013-05-22T18:58:00Z</dcterms:modified>
</cp:coreProperties>
</file>