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FE85" w14:textId="77777777" w:rsidR="0064104E" w:rsidRDefault="0064104E" w:rsidP="0064104E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AUDIOVISUELS</w:t>
      </w:r>
    </w:p>
    <w:p w14:paraId="78020F93" w14:textId="77777777" w:rsidR="0064104E" w:rsidRDefault="0064104E" w:rsidP="0064104E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FICHE DE RENSEIGNEMENTS </w:t>
      </w:r>
    </w:p>
    <w:p w14:paraId="021C83C0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1AF70E48" w14:textId="77777777" w:rsidR="00F1594C" w:rsidRDefault="00F1594C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12EB961C" w14:textId="77777777" w:rsidR="00F1594C" w:rsidRDefault="00F1594C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272E2FC3" w14:textId="623D0EA5" w:rsidR="0064104E" w:rsidRDefault="00800407" w:rsidP="00800407">
      <w:pPr>
        <w:tabs>
          <w:tab w:val="left" w:pos="20"/>
          <w:tab w:val="left" w:pos="36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1.</w:t>
      </w:r>
      <w:r w:rsidR="0064104E">
        <w:rPr>
          <w:rFonts w:ascii="Arial Narrow" w:hAnsi="Arial Narrow" w:cs="Arial Narrow"/>
          <w:b/>
          <w:bCs/>
          <w:color w:val="000000"/>
        </w:rPr>
        <w:t xml:space="preserve">Catégorie de l’œuvre : </w:t>
      </w:r>
      <w:r w:rsidR="00B94437">
        <w:rPr>
          <w:rFonts w:ascii="Arial Narrow" w:hAnsi="Arial Narrow" w:cs="Arial Narrow"/>
          <w:b/>
          <w:bCs/>
          <w:color w:val="000000"/>
          <w:sz w:val="22"/>
          <w:szCs w:val="22"/>
        </w:rPr>
        <w:t>PASTILLE VIDÉO</w:t>
      </w:r>
      <w:r w:rsidR="0064104E">
        <w:rPr>
          <w:rFonts w:ascii="MS Gothic" w:eastAsia="MS Gothic" w:hAnsi="MS Gothic" w:cs="MS Gothic" w:hint="eastAsia"/>
          <w:b/>
          <w:bCs/>
          <w:i/>
          <w:iCs/>
          <w:color w:val="000000"/>
          <w:sz w:val="20"/>
          <w:szCs w:val="20"/>
        </w:rPr>
        <w:t> </w:t>
      </w:r>
    </w:p>
    <w:p w14:paraId="31EB00F7" w14:textId="4152C4DD"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2. Titre de l’œuvre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 w:rsidR="00B94437">
        <w:rPr>
          <w:rFonts w:ascii="Arial" w:hAnsi="Arial" w:cs="Arial"/>
          <w:b/>
          <w:bCs/>
          <w:color w:val="000000"/>
        </w:rPr>
        <w:t> « CASPEX, une caméra aux grands succès »</w:t>
      </w:r>
    </w:p>
    <w:p w14:paraId="1F90D541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3.  Sous-titres / collection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Site web </w:t>
      </w:r>
      <w:hyperlink r:id="rId5" w:history="1">
        <w:r>
          <w:rPr>
            <w:rFonts w:ascii="Arial Narrow" w:hAnsi="Arial Narrow" w:cs="Arial Narrow"/>
            <w:color w:val="0000FF"/>
            <w:sz w:val="22"/>
            <w:szCs w:val="22"/>
            <w:u w:val="single" w:color="0000FF"/>
          </w:rPr>
          <w:t>www.cnes.fr</w:t>
        </w:r>
      </w:hyperlink>
      <w:r>
        <w:rPr>
          <w:rFonts w:ascii="Arial Narrow" w:hAnsi="Arial Narrow" w:cs="Arial Narrow"/>
          <w:color w:val="000000"/>
          <w:sz w:val="22"/>
          <w:szCs w:val="22"/>
        </w:rPr>
        <w:t xml:space="preserve"> /Journal de l’espace.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1251EA12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4. Copyright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/ CNES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6B8D64A4" w14:textId="77777777" w:rsidR="0064104E" w:rsidRPr="00F1594C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5. Réalisateur(s)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Frédéric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Quignaux</w:t>
      </w:r>
      <w:proofErr w:type="spellEnd"/>
    </w:p>
    <w:p w14:paraId="2A5AD8F2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6. Auteur(s)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Frédéric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Quignaux</w:t>
      </w:r>
      <w:proofErr w:type="spellEnd"/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7A418F02" w14:textId="4AA46D63"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7. Producteur délégué</w:t>
      </w:r>
      <w:r w:rsidR="00800407"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 xml:space="preserve">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CNES</w:t>
      </w:r>
    </w:p>
    <w:p w14:paraId="40182A6D" w14:textId="77777777" w:rsidR="0064104E" w:rsidRPr="00F1594C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8. Commanditaire(s)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CNES, 2 place Maurice Quentin 75001 Paris</w:t>
      </w:r>
    </w:p>
    <w:p w14:paraId="7A20643F" w14:textId="41F7D990"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9. Date de production de l’œuvre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proofErr w:type="gramStart"/>
      <w:r w:rsidR="00B94437">
        <w:rPr>
          <w:rFonts w:ascii="Arial Narrow" w:hAnsi="Arial Narrow" w:cs="Arial Narrow"/>
          <w:color w:val="000000"/>
          <w:sz w:val="22"/>
          <w:szCs w:val="22"/>
        </w:rPr>
        <w:t>novembre</w:t>
      </w:r>
      <w:proofErr w:type="gramEnd"/>
      <w:r w:rsidR="00B94437">
        <w:rPr>
          <w:rFonts w:ascii="Arial Narrow" w:hAnsi="Arial Narrow" w:cs="Arial Narrow"/>
          <w:color w:val="000000"/>
          <w:sz w:val="22"/>
          <w:szCs w:val="22"/>
        </w:rPr>
        <w:t xml:space="preserve"> 2022</w:t>
      </w:r>
    </w:p>
    <w:p w14:paraId="47B2BE1F" w14:textId="326FBBCD"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10. Durée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 w:rsidR="00B94437">
        <w:rPr>
          <w:rFonts w:ascii="Arial Narrow" w:hAnsi="Arial Narrow" w:cs="Arial Narrow"/>
          <w:color w:val="000000"/>
          <w:sz w:val="22"/>
          <w:szCs w:val="22"/>
        </w:rPr>
        <w:t>1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minutes </w:t>
      </w:r>
      <w:r w:rsidR="00B94437">
        <w:rPr>
          <w:rFonts w:ascii="Arial Narrow" w:hAnsi="Arial Narrow" w:cs="Arial Narrow"/>
          <w:color w:val="000000"/>
          <w:sz w:val="22"/>
          <w:szCs w:val="22"/>
        </w:rPr>
        <w:t>27</w:t>
      </w:r>
    </w:p>
    <w:p w14:paraId="2F348135" w14:textId="77777777"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11. Langue(s)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Français</w:t>
      </w:r>
    </w:p>
    <w:p w14:paraId="0C4D8ED8" w14:textId="2006B16F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i/>
          <w:i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</w:rPr>
        <w:t xml:space="preserve">12. Versions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Couleur– langue(s) VF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</w:p>
    <w:p w14:paraId="166DBDFA" w14:textId="77777777" w:rsidR="00F1594C" w:rsidRDefault="0064104E" w:rsidP="0064104E">
      <w:pPr>
        <w:autoSpaceDE w:val="0"/>
        <w:autoSpaceDN w:val="0"/>
        <w:adjustRightInd w:val="0"/>
        <w:spacing w:after="24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13. Résumé de l’œuvre : </w:t>
      </w:r>
    </w:p>
    <w:p w14:paraId="7FA0AEF0" w14:textId="68D7A512" w:rsidR="00F1594C" w:rsidRPr="00B94437" w:rsidRDefault="00B94437" w:rsidP="00B94437">
      <w:pPr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Les caméras CASPEX se sont envolées pour la première fois dans l’espace en 2019 sur EYESAT, un projet étudiant de nanosatellite pour étudier la lumière zodiacale. Depuis, les caméras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Caspex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équipent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SuperCam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sur le rover martien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Perseverance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et chacun des 650 satellites de la constellation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OneWeb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Un début prometteur pour ces petites caméras dont les aventures continuent avec le rover lunaire émirati Rashid.</w:t>
      </w:r>
    </w:p>
    <w:p w14:paraId="678E9C28" w14:textId="33E4876B" w:rsidR="0064104E" w:rsidRPr="00800407" w:rsidRDefault="0064104E" w:rsidP="00800407">
      <w:pPr>
        <w:autoSpaceDE w:val="0"/>
        <w:autoSpaceDN w:val="0"/>
        <w:adjustRightInd w:val="0"/>
        <w:spacing w:after="24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</w:rPr>
        <w:t xml:space="preserve">14. Lieux de tournage : </w:t>
      </w:r>
      <w:r>
        <w:rPr>
          <w:rFonts w:ascii="Arial Narrow" w:hAnsi="Arial Narrow" w:cs="Arial Narrow"/>
          <w:color w:val="000000"/>
          <w:sz w:val="22"/>
          <w:szCs w:val="22"/>
        </w:rPr>
        <w:t>CNES CST</w:t>
      </w:r>
      <w:r w:rsidR="00800407">
        <w:rPr>
          <w:rFonts w:ascii="Arial Narrow" w:hAnsi="Arial Narrow" w:cs="Arial Narrow"/>
          <w:color w:val="000000"/>
          <w:sz w:val="22"/>
          <w:szCs w:val="22"/>
        </w:rPr>
        <w:t xml:space="preserve"> </w:t>
      </w:r>
    </w:p>
    <w:p w14:paraId="6509A38A" w14:textId="61376C44" w:rsidR="0064104E" w:rsidRPr="00F1594C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</w:rPr>
        <w:t xml:space="preserve">15. Droits / Crédits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Images :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/</w:t>
      </w:r>
      <w:r w:rsidR="00F1594C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hAnsi="Arial Narrow" w:cs="Arial Narrow"/>
          <w:color w:val="000000"/>
          <w:sz w:val="22"/>
          <w:szCs w:val="22"/>
        </w:rPr>
        <w:t>CNES</w:t>
      </w:r>
      <w:r w:rsidR="00F1594C">
        <w:rPr>
          <w:rFonts w:ascii="Arial Narrow" w:hAnsi="Arial Narrow" w:cs="Arial Narrow"/>
          <w:color w:val="000000"/>
          <w:sz w:val="22"/>
          <w:szCs w:val="22"/>
        </w:rPr>
        <w:t xml:space="preserve"> / </w:t>
      </w:r>
      <w:r w:rsidR="00B94437">
        <w:rPr>
          <w:rFonts w:cs="Calibri"/>
          <w:color w:val="000000"/>
          <w:sz w:val="22"/>
          <w:szCs w:val="22"/>
        </w:rPr>
        <w:t>MBRSC</w:t>
      </w:r>
    </w:p>
    <w:p w14:paraId="3DD3CC62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16. Contenu : </w:t>
      </w:r>
    </w:p>
    <w:p w14:paraId="0154B0FC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I</w:t>
      </w:r>
      <w:r>
        <w:rPr>
          <w:rFonts w:ascii="Arial Narrow" w:hAnsi="Arial Narrow" w:cs="Arial Narrow"/>
          <w:b/>
          <w:bCs/>
          <w:color w:val="000000"/>
        </w:rPr>
        <w:t>nterviews</w:t>
      </w:r>
    </w:p>
    <w:p w14:paraId="6DEEC84B" w14:textId="46A43BAB" w:rsidR="00800407" w:rsidRDefault="00B94437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Cédric </w:t>
      </w:r>
      <w:proofErr w:type="spellStart"/>
      <w:r>
        <w:rPr>
          <w:rFonts w:ascii="Arial Narrow" w:hAnsi="Arial Narrow" w:cs="Arial Narrow"/>
          <w:color w:val="000000"/>
        </w:rPr>
        <w:t>Virmontois</w:t>
      </w:r>
      <w:proofErr w:type="spellEnd"/>
      <w:r>
        <w:rPr>
          <w:rFonts w:ascii="Arial Narrow" w:hAnsi="Arial Narrow" w:cs="Arial Narrow"/>
          <w:color w:val="000000"/>
        </w:rPr>
        <w:t xml:space="preserve"> – Chef de projet CASPEX, CNES</w:t>
      </w:r>
    </w:p>
    <w:p w14:paraId="70C17618" w14:textId="77777777" w:rsidR="00B94437" w:rsidRPr="00F1594C" w:rsidRDefault="0064104E" w:rsidP="00B94437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</w:rPr>
        <w:t xml:space="preserve">Illustrations </w:t>
      </w:r>
      <w:proofErr w:type="spellStart"/>
      <w:r w:rsidR="00800407" w:rsidRPr="00800407">
        <w:rPr>
          <w:rFonts w:ascii="Arial Narrow" w:hAnsi="Arial Narrow" w:cs="Arial Narrow"/>
          <w:color w:val="000000"/>
        </w:rPr>
        <w:t>Quisproduction</w:t>
      </w:r>
      <w:proofErr w:type="spellEnd"/>
      <w:r w:rsidR="00800407" w:rsidRPr="00800407">
        <w:rPr>
          <w:rFonts w:ascii="Arial Narrow" w:hAnsi="Arial Narrow" w:cs="Arial Narrow"/>
          <w:color w:val="000000"/>
        </w:rPr>
        <w:t xml:space="preserve"> / </w:t>
      </w:r>
      <w:r w:rsidR="00B94437">
        <w:rPr>
          <w:rFonts w:cs="Calibri"/>
          <w:color w:val="000000"/>
          <w:sz w:val="22"/>
          <w:szCs w:val="22"/>
        </w:rPr>
        <w:t>MBRSC</w:t>
      </w:r>
    </w:p>
    <w:p w14:paraId="421AA1E3" w14:textId="48DC787F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17. Générique :</w:t>
      </w:r>
    </w:p>
    <w:p w14:paraId="20D27A40" w14:textId="2B690C5B" w:rsidR="0064104E" w:rsidRDefault="0064104E" w:rsidP="0080040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Réalisation :</w:t>
      </w:r>
      <w:r w:rsidR="00800407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</w:p>
    <w:p w14:paraId="3094D7E0" w14:textId="77777777" w:rsidR="00B94437" w:rsidRPr="00F1594C" w:rsidRDefault="0064104E" w:rsidP="00B94437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Images : </w:t>
      </w:r>
      <w:proofErr w:type="spellStart"/>
      <w:r w:rsidR="00800407"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 w:rsidR="00800407">
        <w:rPr>
          <w:rFonts w:ascii="Arial Narrow" w:hAnsi="Arial Narrow" w:cs="Arial Narrow"/>
          <w:color w:val="000000"/>
          <w:sz w:val="22"/>
          <w:szCs w:val="22"/>
        </w:rPr>
        <w:t xml:space="preserve"> / CNES / </w:t>
      </w:r>
      <w:r w:rsidR="00B94437">
        <w:rPr>
          <w:rFonts w:cs="Calibri"/>
          <w:color w:val="000000"/>
          <w:sz w:val="22"/>
          <w:szCs w:val="22"/>
        </w:rPr>
        <w:t>MBRSC</w:t>
      </w:r>
    </w:p>
    <w:p w14:paraId="710A17CF" w14:textId="592A8277" w:rsidR="0064104E" w:rsidRDefault="0064104E" w:rsidP="00B94437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>
        <w:rPr>
          <w:rFonts w:ascii="Arial Narrow" w:hAnsi="Arial Narrow" w:cs="Arial Narrow"/>
          <w:b/>
          <w:bCs/>
          <w:color w:val="000000"/>
        </w:rPr>
        <w:t>18. Format :</w:t>
      </w:r>
    </w:p>
    <w:p w14:paraId="2B404C53" w14:textId="08DCED11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16/9 1920X1080 </w:t>
      </w:r>
      <w:r w:rsidR="00800407">
        <w:rPr>
          <w:rFonts w:ascii="Arial Narrow" w:hAnsi="Arial Narrow" w:cs="Arial Narrow"/>
          <w:color w:val="000000"/>
          <w:sz w:val="22"/>
          <w:szCs w:val="22"/>
        </w:rPr>
        <w:t>H264 MP4</w:t>
      </w:r>
    </w:p>
    <w:p w14:paraId="5CBCC3D3" w14:textId="77777777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color w:val="000000"/>
          <w:sz w:val="22"/>
          <w:szCs w:val="22"/>
        </w:rPr>
        <w:t>Procédé son sur la copie présentée :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Stéréo 48Hz</w:t>
      </w:r>
    </w:p>
    <w:p w14:paraId="50B14DEB" w14:textId="5C41C674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19. Laboratoire(s) ou le film a été déposé : </w:t>
      </w:r>
    </w:p>
    <w:p w14:paraId="3D070929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14:paraId="51F74D19" w14:textId="5FAD8CFD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Le soussigné, mandataire du producteur délégué (1), certifie exacts les renseignements ci-dessus portés.</w:t>
      </w:r>
    </w:p>
    <w:p w14:paraId="1755A4CE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14:paraId="4BA03BD1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14:paraId="74BA655B" w14:textId="14CBA2A8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Fait à Toulouse,</w:t>
      </w:r>
      <w:r w:rsidR="00800407">
        <w:rPr>
          <w:rFonts w:ascii="Arial Narrow" w:hAnsi="Arial Narrow" w:cs="Arial Narrow"/>
          <w:color w:val="000000"/>
          <w:sz w:val="22"/>
          <w:szCs w:val="22"/>
        </w:rPr>
        <w:t xml:space="preserve"> l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e </w:t>
      </w:r>
      <w:r w:rsidR="00B94437">
        <w:rPr>
          <w:rFonts w:ascii="Arial Narrow" w:hAnsi="Arial Narrow" w:cs="Arial Narrow"/>
          <w:color w:val="000000"/>
          <w:sz w:val="22"/>
          <w:szCs w:val="22"/>
        </w:rPr>
        <w:t>28 novembre 2022</w:t>
      </w:r>
    </w:p>
    <w:p w14:paraId="2DCF38EA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14:paraId="01C72F5F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sectPr w:rsidR="0064104E" w:rsidSect="005F15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016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4E"/>
    <w:rsid w:val="005F15BF"/>
    <w:rsid w:val="0064104E"/>
    <w:rsid w:val="00800407"/>
    <w:rsid w:val="00B94437"/>
    <w:rsid w:val="00F1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B41E"/>
  <w15:chartTrackingRefBased/>
  <w15:docId w15:val="{9F453314-49C3-974C-AC19-50C42F77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594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94C"/>
    <w:rPr>
      <w:rFonts w:ascii="Times New Roman" w:hAnsi="Times New Roman" w:cs="Times New Roman"/>
      <w:sz w:val="18"/>
      <w:szCs w:val="18"/>
    </w:rPr>
  </w:style>
  <w:style w:type="paragraph" w:customStyle="1" w:styleId="Corps">
    <w:name w:val="Corps"/>
    <w:rsid w:val="00F159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quignaux</dc:creator>
  <cp:keywords/>
  <dc:description/>
  <cp:lastModifiedBy>frederic quignaux</cp:lastModifiedBy>
  <cp:revision>4</cp:revision>
  <dcterms:created xsi:type="dcterms:W3CDTF">2019-11-21T14:48:00Z</dcterms:created>
  <dcterms:modified xsi:type="dcterms:W3CDTF">2022-11-28T08:24:00Z</dcterms:modified>
</cp:coreProperties>
</file>