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1D5898">
        <w:rPr>
          <w:rFonts w:ascii="Arial Narrow" w:hAnsi="Arial Narrow" w:cs="Arial Narrow"/>
          <w:iCs/>
          <w:sz w:val="22"/>
          <w:szCs w:val="22"/>
        </w:rPr>
        <w:t>Film campagne VA257</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933A09">
      <w:pPr>
        <w:pStyle w:val="Standard"/>
        <w:autoSpaceDE w:val="0"/>
        <w:ind w:left="360"/>
        <w:rPr>
          <w:i/>
        </w:rPr>
      </w:pPr>
      <w:r>
        <w:rPr>
          <w:rFonts w:ascii="Arial Narrow" w:hAnsi="Arial Narrow" w:cs="Calibri"/>
          <w:i/>
          <w:sz w:val="20"/>
          <w:szCs w:val="20"/>
        </w:rPr>
        <w:t>2022-06-29-FILM</w:t>
      </w:r>
      <w:r w:rsidR="001D5898">
        <w:rPr>
          <w:rFonts w:ascii="Arial Narrow" w:hAnsi="Arial Narrow" w:cs="Calibri"/>
          <w:i/>
          <w:sz w:val="20"/>
          <w:szCs w:val="20"/>
        </w:rPr>
        <w:t>_C</w:t>
      </w:r>
      <w:r>
        <w:rPr>
          <w:rFonts w:ascii="Arial Narrow" w:hAnsi="Arial Narrow" w:cs="Calibri"/>
          <w:i/>
          <w:sz w:val="20"/>
          <w:szCs w:val="20"/>
        </w:rPr>
        <w:t>AMPAGNE</w:t>
      </w:r>
      <w:r w:rsidR="00152560" w:rsidRPr="00E85F64">
        <w:rPr>
          <w:rFonts w:ascii="Arial Narrow" w:hAnsi="Arial Narrow" w:cs="Calibri"/>
          <w:i/>
          <w:sz w:val="20"/>
          <w:szCs w:val="20"/>
        </w:rPr>
        <w:t>_</w:t>
      </w:r>
      <w:r w:rsidR="001D5898">
        <w:rPr>
          <w:rFonts w:ascii="Arial Narrow" w:hAnsi="Arial Narrow" w:cs="Calibri"/>
          <w:i/>
          <w:sz w:val="20"/>
          <w:szCs w:val="20"/>
        </w:rPr>
        <w:t>VA257</w:t>
      </w:r>
    </w:p>
    <w:p w:rsidR="008509E2" w:rsidRDefault="00152560">
      <w:pPr>
        <w:pStyle w:val="Standard"/>
        <w:autoSpaceDE w:val="0"/>
        <w:ind w:left="360"/>
        <w:rPr>
          <w:rFonts w:ascii="Arial Narrow" w:hAnsi="Arial Narrow" w:cs="Arial Narrow"/>
          <w:iCs/>
          <w:sz w:val="22"/>
          <w:szCs w:val="22"/>
        </w:rPr>
      </w:pPr>
      <w:r>
        <w:rPr>
          <w:rFonts w:ascii="Arial Narrow" w:hAnsi="Arial Narrow" w:cs="Arial Narrow"/>
          <w:iCs/>
          <w:sz w:val="22"/>
          <w:szCs w:val="22"/>
        </w:rPr>
        <w:t>……………………………</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933A09">
        <w:rPr>
          <w:rFonts w:ascii="Arial Narrow" w:hAnsi="Arial Narrow" w:cs="Arial Narrow"/>
          <w:i/>
          <w:iCs/>
        </w:rPr>
        <w:t>Campagnes de lancements Ariane 5</w:t>
      </w:r>
    </w:p>
    <w:p w:rsidR="008509E2" w:rsidRDefault="00E85F64" w:rsidP="00E85F64">
      <w:pPr>
        <w:pStyle w:val="Standard"/>
        <w:autoSpaceDE w:val="0"/>
        <w:ind w:left="360"/>
        <w:rPr>
          <w:rFonts w:ascii="Arial Narrow" w:hAnsi="Arial Narrow" w:cs="Arial Narrow"/>
          <w:b/>
        </w:rPr>
      </w:pPr>
      <w:r>
        <w:rPr>
          <w:rFonts w:ascii="Arial Narrow" w:hAnsi="Arial Narrow" w:cs="Arial Narrow"/>
          <w:iCs/>
          <w:sz w:val="22"/>
          <w:szCs w:val="22"/>
        </w:rPr>
        <w:t>……………………………</w:t>
      </w:r>
      <w:r>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933A09" w:rsidP="00E85F64">
      <w:pPr>
        <w:pStyle w:val="Standard"/>
        <w:autoSpaceDE w:val="0"/>
        <w:ind w:left="360"/>
        <w:rPr>
          <w:rFonts w:ascii="Arial Narrow" w:hAnsi="Arial Narrow" w:cs="Arial Narrow"/>
          <w:iCs/>
          <w:sz w:val="22"/>
          <w:szCs w:val="22"/>
        </w:rPr>
      </w:pPr>
      <w:r>
        <w:rPr>
          <w:rFonts w:ascii="Arial Narrow" w:hAnsi="Arial Narrow" w:cs="Arial Narrow"/>
          <w:i/>
        </w:rPr>
        <w:t>Grand public</w:t>
      </w:r>
      <w:r w:rsidR="00E85F64">
        <w:rPr>
          <w:rFonts w:ascii="Arial Narrow" w:hAnsi="Arial Narrow" w:cs="Arial Narrow"/>
          <w:i/>
        </w:rPr>
        <w:br/>
      </w:r>
      <w:r w:rsidR="00E85F64">
        <w:rPr>
          <w:rFonts w:ascii="Arial Narrow" w:hAnsi="Arial Narrow" w:cs="Arial Narrow"/>
          <w:iCs/>
          <w:sz w:val="22"/>
          <w:szCs w:val="22"/>
        </w:rPr>
        <w:t>……………………………</w:t>
      </w:r>
    </w:p>
    <w:p w:rsidR="00BF236D" w:rsidRDefault="00BF236D" w:rsidP="00E85F64">
      <w:pPr>
        <w:pStyle w:val="Standard"/>
        <w:autoSpaceDE w:val="0"/>
        <w:ind w:left="360"/>
        <w:rPr>
          <w:rFonts w:ascii="Arial Narrow" w:hAnsi="Arial Narrow" w:cs="Arial Narrow"/>
          <w:iCs/>
          <w:sz w:val="22"/>
          <w:szCs w:val="22"/>
        </w:rPr>
      </w:pPr>
    </w:p>
    <w:p w:rsidR="00BF236D" w:rsidRPr="00055232" w:rsidRDefault="00BF236D" w:rsidP="00BF236D">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sidR="00933A09">
        <w:rPr>
          <w:rFonts w:ascii="Arial Narrow" w:hAnsi="Arial Narrow" w:cs="Arial Narrow"/>
          <w:bCs/>
          <w:i/>
        </w:rPr>
        <w:t>oui</w:t>
      </w:r>
      <w:r w:rsidRPr="00055232">
        <w:rPr>
          <w:rFonts w:ascii="Arial Narrow" w:hAnsi="Arial Narrow" w:cs="Arial Narrow"/>
          <w:iCs/>
          <w:sz w:val="22"/>
          <w:szCs w:val="22"/>
        </w:rPr>
        <w:t xml:space="preserve"> </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
        </w:rPr>
        <w:t>…..</w:t>
      </w:r>
    </w:p>
    <w:p w:rsidR="00BF236D" w:rsidRDefault="00BF236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sidR="00933A09">
        <w:t>CN</w:t>
      </w:r>
      <w:r w:rsidR="00933A09">
        <w:t>ES - ESA - Arianespace - Juin 2022</w:t>
      </w:r>
    </w:p>
    <w:p w:rsidR="00E01DBC" w:rsidRDefault="00E01DBC" w:rsidP="00E01DBC">
      <w:pPr>
        <w:pStyle w:val="Standard"/>
        <w:autoSpaceDE w:val="0"/>
        <w:ind w:left="360"/>
        <w:rPr>
          <w:rFonts w:ascii="Arial Narrow" w:hAnsi="Arial Narrow" w:cs="Arial Narrow"/>
        </w:rPr>
      </w:pPr>
      <w:r>
        <w:rPr>
          <w:rFonts w:ascii="Arial Narrow" w:hAnsi="Arial Narrow" w:cs="Arial Narrow"/>
          <w:i/>
        </w:rPr>
        <w:t>.</w:t>
      </w:r>
      <w:r>
        <w:rPr>
          <w:rFonts w:ascii="Arial Narrow" w:hAnsi="Arial Narrow" w:cs="Arial Narrow"/>
        </w:rPr>
        <w:t>………………………….</w:t>
      </w:r>
      <w:r>
        <w:rPr>
          <w:rFonts w:ascii="Arial Narrow" w:hAnsi="Arial Narrow" w:cs="Arial Narrow"/>
          <w:i/>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933A09" w:rsidRDefault="00933A09" w:rsidP="00BF236D">
      <w:pPr>
        <w:pStyle w:val="Standard"/>
        <w:autoSpaceDE w:val="0"/>
        <w:ind w:left="360"/>
      </w:pPr>
      <w:hyperlink r:id="rId8" w:history="1">
        <w:r>
          <w:rPr>
            <w:rStyle w:val="Lienhypertexte"/>
          </w:rPr>
          <w:t>Activité Optique Vidéo du CSG</w:t>
        </w:r>
      </w:hyperlink>
    </w:p>
    <w:p w:rsidR="00BF236D" w:rsidRDefault="00933A09" w:rsidP="00BF236D">
      <w:pPr>
        <w:pStyle w:val="Standard"/>
        <w:autoSpaceDE w:val="0"/>
        <w:ind w:left="360"/>
      </w:pPr>
      <w:r>
        <w:t>L'utilisation de l'image du lanceur Ariane nécessite l'accord du Comité Charte lanceur et comporter la mention suivante : « Ariane-[version du lanceur] est un programme de l'ESA, conçu et développé par le CNES pour l'ESA et dont l'exploitation est confiée à Arianespace »</w:t>
      </w:r>
      <w:r w:rsidR="00BF236D">
        <w:rPr>
          <w:rFonts w:ascii="Arial Narrow" w:hAnsi="Arial Narrow" w:cs="Arial Narrow"/>
          <w:b/>
        </w:rPr>
        <w:br/>
      </w:r>
      <w:r w:rsidR="00BF236D">
        <w:rPr>
          <w:rFonts w:ascii="Arial Narrow" w:hAnsi="Arial Narrow" w:cs="Arial Narrow"/>
          <w:iCs/>
          <w:sz w:val="22"/>
          <w:szCs w:val="22"/>
        </w:rPr>
        <w:t>……………………………</w:t>
      </w:r>
      <w:r w:rsidR="00BF236D">
        <w:rPr>
          <w:rFonts w:ascii="Arial Narrow" w:hAnsi="Arial Narrow" w:cs="Arial Narrow"/>
          <w:iCs/>
          <w:sz w:val="22"/>
          <w:szCs w:val="22"/>
        </w:rPr>
        <w:br/>
        <w:t>……………………………</w:t>
      </w:r>
    </w:p>
    <w:p w:rsidR="00BF236D" w:rsidRDefault="00BF236D" w:rsidP="00BF236D">
      <w:pPr>
        <w:pStyle w:val="Standard"/>
        <w:autoSpaceDE w:val="0"/>
        <w:rPr>
          <w:rFonts w:ascii="Arial Narrow" w:hAnsi="Arial Narrow" w:cs="Arial Narrow"/>
          <w:bCs/>
          <w:i/>
        </w:rPr>
      </w:pPr>
    </w:p>
    <w:p w:rsidR="00E01DBC" w:rsidRDefault="00E01DBC" w:rsidP="00E01DBC">
      <w:pPr>
        <w:pStyle w:val="Standard"/>
        <w:autoSpaceDE w:val="0"/>
        <w:ind w:left="360"/>
        <w:rPr>
          <w:rFonts w:ascii="Arial Narrow" w:hAnsi="Arial Narrow" w:cs="Arial Narrow"/>
          <w:b/>
        </w:rPr>
      </w:pPr>
      <w:bookmarkStart w:id="0" w:name="_GoBack"/>
      <w:bookmarkEnd w:id="0"/>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933A09">
      <w:pPr>
        <w:pStyle w:val="Standard"/>
        <w:autoSpaceDE w:val="0"/>
        <w:ind w:left="360"/>
        <w:rPr>
          <w:rFonts w:ascii="Arial Narrow" w:hAnsi="Arial Narrow" w:cs="Arial Narrow"/>
        </w:rPr>
      </w:pPr>
      <w:r>
        <w:rPr>
          <w:rFonts w:ascii="Arial Narrow" w:hAnsi="Arial Narrow" w:cs="Arial Narrow"/>
        </w:rPr>
        <w:t>23 juin 2022</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152560">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933A09">
        <w:rPr>
          <w:rFonts w:ascii="Arial Narrow" w:hAnsi="Arial Narrow" w:cs="Arial Narrow"/>
          <w:iCs/>
          <w:sz w:val="22"/>
          <w:szCs w:val="22"/>
        </w:rPr>
        <w:lastRenderedPageBreak/>
        <w:t>13 min</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E01DBC">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r>
      <w:r w:rsidR="00933A09">
        <w:t>Le 22 juin 2022, la 257</w:t>
      </w:r>
      <w:r w:rsidR="00933A09">
        <w:t xml:space="preserve">e Ariane décollait du CSG. Dans ce </w:t>
      </w:r>
      <w:r w:rsidR="00933A09">
        <w:rPr>
          <w:rStyle w:val="highlight2"/>
        </w:rPr>
        <w:t>film</w:t>
      </w:r>
      <w:r w:rsidR="00933A09">
        <w:t> : les opérations de préparation au lancement et le décollage.</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sidR="00933A09">
        <w:rPr>
          <w:rFonts w:ascii="Arial Narrow" w:hAnsi="Arial Narrow" w:cs="Arial Narrow"/>
          <w:iCs/>
          <w:sz w:val="22"/>
          <w:szCs w:val="22"/>
        </w:rPr>
        <w:t>Guyane – Centre spatial guyanais</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78" w:rsidRDefault="00993078">
      <w:r>
        <w:separator/>
      </w:r>
    </w:p>
  </w:endnote>
  <w:endnote w:type="continuationSeparator" w:id="0">
    <w:p w:rsidR="00993078" w:rsidRDefault="0099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78" w:rsidRDefault="00993078">
      <w:r>
        <w:rPr>
          <w:color w:val="000000"/>
        </w:rPr>
        <w:separator/>
      </w:r>
    </w:p>
  </w:footnote>
  <w:footnote w:type="continuationSeparator" w:id="0">
    <w:p w:rsidR="00993078" w:rsidRDefault="0099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1D5898"/>
    <w:rsid w:val="003D3197"/>
    <w:rsid w:val="0052213B"/>
    <w:rsid w:val="008509E2"/>
    <w:rsid w:val="008B5D49"/>
    <w:rsid w:val="009337D7"/>
    <w:rsid w:val="00933A09"/>
    <w:rsid w:val="00993078"/>
    <w:rsid w:val="00BF236D"/>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B81"/>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 w:type="character" w:styleId="Lienhypertexte">
    <w:name w:val="Hyperlink"/>
    <w:basedOn w:val="Policepardfaut"/>
    <w:uiPriority w:val="99"/>
    <w:semiHidden/>
    <w:unhideWhenUsed/>
    <w:rsid w:val="00933A09"/>
    <w:rPr>
      <w:color w:val="0000FF"/>
      <w:u w:val="single"/>
    </w:rPr>
  </w:style>
  <w:style w:type="character" w:customStyle="1" w:styleId="highlight2">
    <w:name w:val="highlight2"/>
    <w:basedOn w:val="Policepardfaut"/>
    <w:rsid w:val="0093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6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deotheque.cnes.fr/interne/index.php?urlaction=doc&amp;id_doc=38024&amp;rang=22&amp;id_pani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Descamps Capucine (FIDERIM)</cp:lastModifiedBy>
  <cp:revision>3</cp:revision>
  <dcterms:created xsi:type="dcterms:W3CDTF">2022-04-07T08:56:00Z</dcterms:created>
  <dcterms:modified xsi:type="dcterms:W3CDTF">2022-06-29T12:15:00Z</dcterms:modified>
</cp:coreProperties>
</file>